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Нижнеабдулловский </w:t>
      </w:r>
      <w:r>
        <w:rPr>
          <w:rFonts w:ascii="Arial" w:hAnsi="Arial" w:cs="Arial"/>
          <w:sz w:val="24"/>
          <w:szCs w:val="24"/>
        </w:rPr>
        <w:t>сельский Совет</w:t>
      </w:r>
    </w:p>
    <w:p>
      <w:pPr>
        <w:pStyle w:val="9"/>
        <w:ind w:right="-2"/>
        <w:jc w:val="center"/>
        <w:rPr>
          <w:rFonts w:ascii="Arial" w:hAnsi="Arial" w:cs="Arial"/>
          <w:b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Альметьевского муниципального района Республики Татарстан</w:t>
      </w:r>
    </w:p>
    <w:p>
      <w:pPr>
        <w:pStyle w:val="9"/>
        <w:ind w:right="-2"/>
        <w:jc w:val="center"/>
        <w:rPr>
          <w:rFonts w:ascii="Arial" w:hAnsi="Arial" w:cs="Arial"/>
          <w:sz w:val="24"/>
          <w:szCs w:val="24"/>
        </w:rPr>
      </w:pPr>
    </w:p>
    <w:p>
      <w:pPr>
        <w:pStyle w:val="9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>
      <w:pPr>
        <w:pStyle w:val="9"/>
        <w:ind w:right="-2"/>
        <w:jc w:val="center"/>
        <w:rPr>
          <w:rFonts w:ascii="Arial" w:hAnsi="Arial" w:cs="Arial"/>
          <w:sz w:val="24"/>
          <w:szCs w:val="24"/>
        </w:rPr>
      </w:pPr>
    </w:p>
    <w:p>
      <w:pPr>
        <w:pStyle w:val="9"/>
        <w:ind w:right="-2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19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мая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2023 года                                                                           </w:t>
      </w:r>
      <w:r>
        <w:rPr>
          <w:rFonts w:hint="default" w:ascii="Arial" w:hAnsi="Arial" w:cs="Arial"/>
          <w:sz w:val="24"/>
          <w:szCs w:val="24"/>
          <w:lang w:val="ru-RU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bookmarkStart w:id="1" w:name="_GoBack"/>
      <w:bookmarkEnd w:id="1"/>
      <w:r>
        <w:rPr>
          <w:rFonts w:hint="default" w:ascii="Arial" w:hAnsi="Arial" w:cs="Arial"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sz w:val="24"/>
          <w:szCs w:val="24"/>
        </w:rPr>
        <w:t>№</w:t>
      </w:r>
      <w:r>
        <w:rPr>
          <w:rFonts w:hint="default" w:ascii="Arial" w:hAnsi="Arial" w:cs="Arial"/>
          <w:sz w:val="24"/>
          <w:szCs w:val="24"/>
          <w:lang w:val="ru-RU"/>
        </w:rPr>
        <w:t>75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7"/>
        <w:gridCol w:w="4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2" w:type="dxa"/>
          </w:tcPr>
          <w:p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708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708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решение Совета муниципального образования «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Нижнеабдулловское </w:t>
            </w:r>
            <w:r>
              <w:rPr>
                <w:rFonts w:ascii="Arial" w:hAnsi="Arial" w:cs="Arial"/>
                <w:sz w:val="24"/>
                <w:szCs w:val="24"/>
              </w:rPr>
              <w:t>сельское поселение» Альметьевского муниципального района Республики Татарстан от 25 декабря 2012 г. №51</w:t>
            </w:r>
          </w:p>
          <w:p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«Об утверждении Правил землепользования и застройки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Нижнеабдулловского </w:t>
            </w:r>
            <w:r>
              <w:rPr>
                <w:rFonts w:ascii="Arial" w:hAnsi="Arial" w:cs="Arial"/>
                <w:sz w:val="24"/>
                <w:szCs w:val="24"/>
              </w:rPr>
              <w:t>сельского поселения Альметьевского муниципального района Республики Татарстан»</w:t>
            </w:r>
          </w:p>
          <w:p>
            <w:pPr>
              <w:spacing w:line="252" w:lineRule="auto"/>
              <w:jc w:val="both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</w:tc>
        <w:tc>
          <w:tcPr>
            <w:tcW w:w="4681" w:type="dxa"/>
          </w:tcPr>
          <w:p>
            <w:pPr>
              <w:spacing w:line="252" w:lineRule="auto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</w:tc>
      </w:tr>
    </w:tbl>
    <w:p>
      <w:pPr>
        <w:pStyle w:val="9"/>
        <w:spacing w:line="252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252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Arial" w:hAnsi="Arial" w:cs="Arial"/>
          <w:bCs/>
          <w:sz w:val="24"/>
          <w:szCs w:val="24"/>
        </w:rPr>
        <w:t xml:space="preserve">Нижнеабдулловское </w:t>
      </w:r>
      <w:r>
        <w:rPr>
          <w:rFonts w:ascii="Arial" w:hAnsi="Arial" w:cs="Arial"/>
          <w:sz w:val="24"/>
          <w:szCs w:val="24"/>
        </w:rPr>
        <w:t>сельское поселение» Альметьевского муниципального района, решением Совета Альметьевского муниципального района Республики Татарстан от 12 декабря 2022 г. №182 «О передаче части полномочий муниципального образования «Альметьевский муниципальный район Республики Татарстан» по решению отдельных вопросов местного значения в области градостроительной деятельности поселениям, находящимся на территории Альметьевского муниципального района», заключения по результатам публичных слушаний от 27 апреля 2023 г. №3438и (публикация в газете «Альметьевский вестник» 4 мая 2023 г. №18), прошедших согласно постановлению главы Альметьевского муниципального района от  11 апреля 2023 г. №66 «О назначении публичных слушаний»,</w:t>
      </w:r>
    </w:p>
    <w:p>
      <w:pPr>
        <w:widowControl w:val="0"/>
        <w:autoSpaceDE w:val="0"/>
        <w:autoSpaceDN w:val="0"/>
        <w:adjustRightInd w:val="0"/>
        <w:spacing w:line="252" w:lineRule="auto"/>
        <w:ind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252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Нижнеабдулловский </w:t>
      </w:r>
      <w:r>
        <w:rPr>
          <w:rFonts w:ascii="Arial" w:hAnsi="Arial" w:cs="Arial"/>
          <w:sz w:val="24"/>
          <w:szCs w:val="24"/>
        </w:rPr>
        <w:t>сельский Совет РЕШИЛ:</w:t>
      </w:r>
    </w:p>
    <w:p>
      <w:pPr>
        <w:pStyle w:val="9"/>
        <w:spacing w:line="252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252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P12"/>
      <w:bookmarkEnd w:id="0"/>
      <w:r>
        <w:rPr>
          <w:rFonts w:ascii="Arial" w:hAnsi="Arial" w:cs="Arial"/>
          <w:sz w:val="24"/>
          <w:szCs w:val="24"/>
        </w:rPr>
        <w:t>Внести в решение Совета муниципального образования «</w:t>
      </w:r>
      <w:r>
        <w:rPr>
          <w:rFonts w:ascii="Arial" w:hAnsi="Arial" w:cs="Arial"/>
          <w:bCs/>
          <w:sz w:val="24"/>
          <w:szCs w:val="24"/>
        </w:rPr>
        <w:t xml:space="preserve">Нижнеабдулловское </w:t>
      </w:r>
      <w:r>
        <w:rPr>
          <w:rFonts w:ascii="Arial" w:hAnsi="Arial" w:cs="Arial"/>
          <w:sz w:val="24"/>
          <w:szCs w:val="24"/>
        </w:rPr>
        <w:t xml:space="preserve">сельское поселение» Альметьевского муниципального района Республики Татарстан от 25 декабря 2012 г. №51 «Об утверждении Правил землепользования и застройки </w:t>
      </w:r>
      <w:r>
        <w:rPr>
          <w:rFonts w:ascii="Arial" w:hAnsi="Arial" w:cs="Arial"/>
          <w:bCs/>
          <w:sz w:val="24"/>
          <w:szCs w:val="24"/>
        </w:rPr>
        <w:t xml:space="preserve">Нижнеабдулловского </w:t>
      </w:r>
      <w:r>
        <w:rPr>
          <w:rFonts w:ascii="Arial" w:hAnsi="Arial" w:cs="Arial"/>
          <w:sz w:val="24"/>
          <w:szCs w:val="24"/>
        </w:rPr>
        <w:t>сельского поселения Альметьевского муниципального района Республики Татарстан»</w:t>
      </w:r>
      <w:r>
        <w:t xml:space="preserve"> </w:t>
      </w:r>
      <w:r>
        <w:rPr>
          <w:rFonts w:ascii="Arial" w:hAnsi="Arial" w:cs="Arial"/>
          <w:sz w:val="24"/>
          <w:szCs w:val="24"/>
        </w:rPr>
        <w:t>(с изменениями от 3 июня 2022 г. №48) следующие изменения: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приложении к решению: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5 статьи 4 дополнить подпунктом 2.1 следующего содержания: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«2.1) требования к архитектурно-градостроительному облику объектов капитального строительства;»;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дополнить статьей 13.1 следующего содержания: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«Статья 13.1. Архитектурно-градостроительный облик объекта капитального строительства.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Архитектурно-градостроительный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строительства, реконструкции объекта капитального строительства в границах территорий, предусмотренных частью 5 3 статьи 30 Градостроительного кодекса Российской Федерации, за исключением случаев, предусмотренных частью 2 настоящей статьи.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Согласование архитектурно-градостроительного облика объекта капитального строительства не требуется в отношении: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объектов капитального строительства, расположенных на земельных участках, действие градостроительного регламента на которые не распространяется;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объектов, для строительства или реконструкции которых не требуется получение разрешения на строительство;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объектов, расположенных на земельных участках, находящихся в пользовании учреждений, исполняющих наказание;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объектов обороны и безопасности, объектов Вооруженных Сил Российской Федерации, других войск, воинских формирований и органов, осуществляющих функции в области обороны страны и безопасности государства;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иных объектов, определенных Правительством Российской Федерации, нормативными правовыми актами органов государственной власти субъектов Российской Федерации.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Срок выдачи согласования архитектурно-градостроительного облика объекта капитального строительства не может превышать десять рабочих дней.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Основанием для отказа в согласовании архитектурно-градостроительного облика объекта капитального строительства является несоответствие архитектурных решений объекта капитального строительства, определяющих его архитектурно-градостроительный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строительства,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Порядок согласования архитектурно-градостроительного облика объекта капитального строительства устанавливается Правительством Российской Федерации, если иное не предусмотрено Градостроительного кодекса Российской Федерации.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Требования к архитектурно-градостроительному облику объекта капитального строительства включают в себя требования к объемно-пространственным, архитектурно-стилистическим и иным характеристикам объекта капитального строительства, которые устанавливаются Правительством Российской Федерации, если иное не предусмотрено Градостроительным кодексом Российской Федерации.»;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пункт 7 статьи 16 изложить в следующей редакции: 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четырнадцати дней и более тридцати дней.»;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статью 21 дополнить пунктом 12 следующего содержания: 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«12.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требуется.»;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статью 23 дополнить пунктами 3.1 и 3.2 следующего содержания: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«3.1. 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Территории, в границах которых предусматривается осуществление деятельности по комплексному развитию территории, в пределах муниципального образования «Нижнеабдулловское сельское поселение» не установлены, в связи с чем в материалах настоящих Правил не отображены.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На карте градостроительного зонирования отображаются 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 и могут отображаться на отдельной карте.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Территории, в границах которых предусматриваются требования к архитектурно-градостроительному облику объектов капитального строительства, в пределах муниципального образования «Нижнеабдулловское сельское поселение» не установлены, в связи с чем в материалах настоящих Правил не отображены.»;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статье 26: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после абзаца «Показатели, не урегулированные в настоящей таблице, определяются в соответствии с требованиями Технических регламентов, СНиП, СанПиН и других нормативных документов.» дополнить следующим абзацем: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«Установленные градостроительным регламентом предельные (минимальные) размеры земельных участков не применяются в случае: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образования земельного участка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собственности, и отсутствия возможности формирования на местности земельного участка, площадь которого соответствует предельным (минимальным) размерам земельных участков;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образования земельного участка путем объединения двух и более земельных участков;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образования земельного участка, формируемого под существующим объектом недвижимости, и отсутствия возможности формирования на местности земельного участка, площадь которого соответствует предельным (минимальным) размерам земельных участков.».</w:t>
      </w:r>
    </w:p>
    <w:p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Обнародовать настоящее решение на специальных информационных стендах, расположенных на территории населенн</w:t>
      </w:r>
      <w:r>
        <w:rPr>
          <w:rFonts w:ascii="Arial" w:hAnsi="Arial" w:cs="Arial"/>
          <w:sz w:val="24"/>
          <w:szCs w:val="24"/>
          <w:lang w:val="ru-RU"/>
        </w:rPr>
        <w:t>ых</w:t>
      </w:r>
      <w:r>
        <w:rPr>
          <w:rFonts w:ascii="Arial" w:hAnsi="Arial" w:cs="Arial"/>
          <w:sz w:val="24"/>
          <w:szCs w:val="24"/>
        </w:rPr>
        <w:t xml:space="preserve"> пункт</w:t>
      </w:r>
      <w:r>
        <w:rPr>
          <w:rFonts w:ascii="Arial" w:hAnsi="Arial" w:cs="Arial"/>
          <w:sz w:val="24"/>
          <w:szCs w:val="24"/>
          <w:lang w:val="ru-RU"/>
        </w:rPr>
        <w:t>ов</w:t>
      </w:r>
      <w:r>
        <w:rPr>
          <w:rFonts w:ascii="Arial" w:hAnsi="Arial" w:cs="Arial"/>
          <w:sz w:val="24"/>
          <w:szCs w:val="24"/>
        </w:rPr>
        <w:t>:</w:t>
      </w:r>
      <w:r>
        <w:t xml:space="preserve"> </w:t>
      </w:r>
      <w:r>
        <w:rPr>
          <w:rFonts w:ascii="Arial" w:hAnsi="Arial" w:cs="Arial"/>
          <w:sz w:val="24"/>
          <w:szCs w:val="24"/>
        </w:rPr>
        <w:t>с. Нижнее Абдулово, ул. Ленина, д.</w:t>
      </w:r>
      <w:r>
        <w:rPr>
          <w:rFonts w:hint="default" w:ascii="Arial" w:hAnsi="Arial" w:cs="Arial"/>
          <w:sz w:val="24"/>
          <w:szCs w:val="24"/>
          <w:lang w:val="ru-RU"/>
        </w:rPr>
        <w:t>92</w:t>
      </w:r>
      <w:r>
        <w:rPr>
          <w:rFonts w:ascii="Arial" w:hAnsi="Arial" w:cs="Arial"/>
          <w:sz w:val="24"/>
          <w:szCs w:val="24"/>
        </w:rPr>
        <w:t>,</w:t>
      </w:r>
      <w:r>
        <w:t xml:space="preserve"> </w:t>
      </w:r>
      <w:r>
        <w:rPr>
          <w:rFonts w:ascii="Arial" w:hAnsi="Arial" w:cs="Arial"/>
          <w:sz w:val="24"/>
          <w:szCs w:val="24"/>
        </w:rPr>
        <w:t>д.  Кзыл  Кеч,  ул. Кзыл  Кеч,  д.  12, разместить на «Официальном портале правовой информации Республики Татарстан</w:t>
      </w:r>
      <w:r>
        <w:rPr>
          <w:rFonts w:ascii="Arial" w:hAnsi="Arial" w:eastAsia="Calibri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(PRAVO.TATARSTAN.RU) и на сайте Альметьевского муниципального района в</w:t>
      </w:r>
      <w:r>
        <w:t xml:space="preserve"> </w:t>
      </w:r>
      <w:r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>
      <w:pPr>
        <w:spacing w:line="252" w:lineRule="auto"/>
        <w:ind w:firstLine="709"/>
        <w:jc w:val="both"/>
        <w:rPr>
          <w:rStyle w:val="4"/>
          <w:rFonts w:ascii="Arial" w:hAnsi="Arial" w:cs="Arial"/>
          <w:color w:val="000000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fldChar w:fldCharType="begin"/>
      </w:r>
      <w:r>
        <w:instrText xml:space="preserve"> HYPERLINK "http://xn--80aughbh.xn--p1ai/tinybrowser/files/resheniya-2013/39.-ot-05.12.2013g.-o-peredach.polnomochiy-po-grad.doc" </w:instrText>
      </w:r>
      <w:r>
        <w:fldChar w:fldCharType="separate"/>
      </w:r>
      <w:r>
        <w:rPr>
          <w:rStyle w:val="4"/>
          <w:rFonts w:ascii="Arial" w:hAnsi="Arial" w:cs="Arial"/>
          <w:color w:val="000000"/>
          <w:sz w:val="24"/>
          <w:szCs w:val="24"/>
          <w:u w:val="none"/>
        </w:rPr>
        <w:t xml:space="preserve">Настоящее решение вступает в силу после его официального опубликования (обнародования). </w:t>
      </w:r>
      <w:r>
        <w:rPr>
          <w:rStyle w:val="4"/>
          <w:rFonts w:ascii="Arial" w:hAnsi="Arial" w:cs="Arial"/>
          <w:color w:val="000000"/>
          <w:sz w:val="24"/>
          <w:szCs w:val="24"/>
          <w:u w:val="none"/>
        </w:rPr>
        <w:fldChar w:fldCharType="end"/>
      </w:r>
    </w:p>
    <w:p>
      <w:pPr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  <w:lang w:val="tt-RU"/>
        </w:rPr>
        <w:t>Контроль за исполнением настоящего решения оставляю за собой.</w:t>
      </w:r>
    </w:p>
    <w:p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</w:p>
    <w:p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</w:p>
    <w:p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bCs/>
          <w:sz w:val="24"/>
          <w:szCs w:val="24"/>
        </w:rPr>
        <w:t>Нижнеабдулловского</w:t>
      </w:r>
    </w:p>
    <w:p>
      <w:pPr>
        <w:widowControl w:val="0"/>
        <w:autoSpaceDE w:val="0"/>
        <w:autoSpaceDN w:val="0"/>
        <w:adjustRightInd w:val="0"/>
        <w:spacing w:line="233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Р.Р. Юнусов</w:t>
      </w: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701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64452532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120299"/>
    <w:multiLevelType w:val="multilevel"/>
    <w:tmpl w:val="71120299"/>
    <w:lvl w:ilvl="0" w:tentative="0">
      <w:start w:val="1"/>
      <w:numFmt w:val="decimal"/>
      <w:suff w:val="space"/>
      <w:lvlText w:val="%1."/>
      <w:lvlJc w:val="left"/>
      <w:pPr>
        <w:ind w:left="333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4058" w:hanging="360"/>
      </w:pPr>
    </w:lvl>
    <w:lvl w:ilvl="2" w:tentative="0">
      <w:start w:val="1"/>
      <w:numFmt w:val="lowerRoman"/>
      <w:lvlText w:val="%3."/>
      <w:lvlJc w:val="right"/>
      <w:pPr>
        <w:ind w:left="4778" w:hanging="180"/>
      </w:pPr>
    </w:lvl>
    <w:lvl w:ilvl="3" w:tentative="0">
      <w:start w:val="1"/>
      <w:numFmt w:val="decimal"/>
      <w:lvlText w:val="%4."/>
      <w:lvlJc w:val="left"/>
      <w:pPr>
        <w:ind w:left="5498" w:hanging="360"/>
      </w:pPr>
    </w:lvl>
    <w:lvl w:ilvl="4" w:tentative="0">
      <w:start w:val="1"/>
      <w:numFmt w:val="lowerLetter"/>
      <w:lvlText w:val="%5."/>
      <w:lvlJc w:val="left"/>
      <w:pPr>
        <w:ind w:left="6218" w:hanging="360"/>
      </w:pPr>
    </w:lvl>
    <w:lvl w:ilvl="5" w:tentative="0">
      <w:start w:val="1"/>
      <w:numFmt w:val="lowerRoman"/>
      <w:lvlText w:val="%6."/>
      <w:lvlJc w:val="right"/>
      <w:pPr>
        <w:ind w:left="6938" w:hanging="180"/>
      </w:pPr>
    </w:lvl>
    <w:lvl w:ilvl="6" w:tentative="0">
      <w:start w:val="1"/>
      <w:numFmt w:val="decimal"/>
      <w:lvlText w:val="%7."/>
      <w:lvlJc w:val="left"/>
      <w:pPr>
        <w:ind w:left="7658" w:hanging="360"/>
      </w:pPr>
    </w:lvl>
    <w:lvl w:ilvl="7" w:tentative="0">
      <w:start w:val="1"/>
      <w:numFmt w:val="lowerLetter"/>
      <w:lvlText w:val="%8."/>
      <w:lvlJc w:val="left"/>
      <w:pPr>
        <w:ind w:left="8378" w:hanging="360"/>
      </w:pPr>
    </w:lvl>
    <w:lvl w:ilvl="8" w:tentative="0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cumentProtection w:enforcement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14C0FD1"/>
    <w:rsid w:val="22801C81"/>
    <w:rsid w:val="560656AF"/>
    <w:rsid w:val="62E2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character" w:styleId="5">
    <w:name w:val="page number"/>
    <w:basedOn w:val="2"/>
    <w:qFormat/>
    <w:uiPriority w:val="0"/>
  </w:style>
  <w:style w:type="paragraph" w:styleId="6">
    <w:name w:val="header"/>
    <w:basedOn w:val="1"/>
    <w:link w:val="10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8"/>
    <w:qFormat/>
    <w:uiPriority w:val="99"/>
    <w:pPr>
      <w:tabs>
        <w:tab w:val="center" w:pos="4677"/>
        <w:tab w:val="right" w:pos="9355"/>
      </w:tabs>
    </w:pPr>
  </w:style>
  <w:style w:type="character" w:customStyle="1" w:styleId="8">
    <w:name w:val="Нижний колонтитул Знак"/>
    <w:basedOn w:val="2"/>
    <w:link w:val="7"/>
    <w:qFormat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9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character" w:customStyle="1" w:styleId="10">
    <w:name w:val="Верхний колонтитул Знак"/>
    <w:basedOn w:val="2"/>
    <w:link w:val="6"/>
    <w:qFormat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1">
    <w:name w:val="s_1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1332</Words>
  <Characters>7595</Characters>
  <Lines>63</Lines>
  <Paragraphs>17</Paragraphs>
  <TotalTime>7</TotalTime>
  <ScaleCrop>false</ScaleCrop>
  <LinksUpToDate>false</LinksUpToDate>
  <CharactersWithSpaces>8910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2022-01-27T09:26:00Z</dcterms:created>
  <dc:creator>Пользователь Windows</dc:creator>
  <cp:lastModifiedBy>Пользователь</cp:lastModifiedBy>
  <cp:lastPrinted>2023-05-19T06:12:49Z</cp:lastPrinted>
  <dcterms:modified xsi:type="dcterms:W3CDTF">2023-05-19T06:14:00Z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4A9F6D95BB834A6F987C88CA20EAEF9F</vt:lpwstr>
  </property>
</Properties>
</file>